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3F1B" w14:textId="77777777" w:rsidR="009A4F1D" w:rsidRPr="00F32C68" w:rsidRDefault="00AF7030">
      <w:pPr>
        <w:spacing w:before="120" w:after="120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</w:pPr>
      <w:r w:rsidRPr="00F32C68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การรายงานผลการดำเนินงานตามเกณฑ์ </w:t>
      </w:r>
      <w:r w:rsidRPr="00F32C68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AUN</w:t>
      </w:r>
      <w:r w:rsidRPr="00F32C68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-</w:t>
      </w:r>
      <w:r w:rsidRPr="00F32C68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 xml:space="preserve">QA </w:t>
      </w:r>
      <w:r w:rsidRPr="00F32C68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ของหลักสูตรที่หน่วยงานเกี่ยวข้อง</w:t>
      </w:r>
      <w:r w:rsidRPr="00F32C6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B97B0D" wp14:editId="51B28347">
                <wp:simplePos x="0" y="0"/>
                <wp:positionH relativeFrom="column">
                  <wp:posOffset>4343400</wp:posOffset>
                </wp:positionH>
                <wp:positionV relativeFrom="paragraph">
                  <wp:posOffset>-469899</wp:posOffset>
                </wp:positionV>
                <wp:extent cx="1504950" cy="400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288" y="3584738"/>
                          <a:ext cx="14954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84E35A" w14:textId="77777777" w:rsidR="009A4F1D" w:rsidRDefault="00AF70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cs/>
                              </w:rPr>
                              <w:t>ส่วนกิจการนักศึกษา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97B0D" id="Rectangle 2" o:spid="_x0000_s1026" style="position:absolute;left:0;text-align:left;margin-left:342pt;margin-top:-37pt;width:118.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784E35A" w14:textId="77777777" w:rsidR="009A4F1D" w:rsidRDefault="00AF7030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cs/>
                        </w:rPr>
                        <w:t>ส่วนกิจการนักศึกษา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4B8790AD" w14:textId="77777777" w:rsidR="009A4F1D" w:rsidRPr="00F32C68" w:rsidRDefault="00AF7030">
      <w:pPr>
        <w:tabs>
          <w:tab w:val="left" w:pos="567"/>
        </w:tabs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F32C68">
        <w:rPr>
          <w:rFonts w:ascii="TH SarabunPSK" w:eastAsia="Sarabun" w:hAnsi="TH SarabunPSK" w:cs="TH SarabunPSK"/>
          <w:b/>
          <w:sz w:val="32"/>
          <w:szCs w:val="32"/>
          <w:u w:val="single"/>
        </w:rPr>
        <w:t>AUN</w:t>
      </w:r>
      <w:r w:rsidRPr="00F32C6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-</w:t>
      </w:r>
      <w:r w:rsidRPr="00F32C68">
        <w:rPr>
          <w:rFonts w:ascii="TH SarabunPSK" w:eastAsia="Sarabun" w:hAnsi="TH SarabunPSK" w:cs="TH SarabunPSK"/>
          <w:b/>
          <w:sz w:val="32"/>
          <w:szCs w:val="32"/>
          <w:u w:val="single"/>
        </w:rPr>
        <w:t>QA 10 Quality Enhancement</w:t>
      </w:r>
    </w:p>
    <w:p w14:paraId="2AC61A96" w14:textId="77777777" w:rsidR="009A4F1D" w:rsidRPr="00F32C68" w:rsidRDefault="00AF7030">
      <w:pPr>
        <w:spacing w:before="120" w:after="120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F32C68">
        <w:rPr>
          <w:rFonts w:ascii="TH SarabunPSK" w:eastAsia="Sarabun" w:hAnsi="TH SarabunPSK" w:cs="TH SarabunPSK"/>
          <w:b/>
          <w:sz w:val="32"/>
          <w:szCs w:val="32"/>
          <w:u w:val="single"/>
        </w:rPr>
        <w:t>Criterion</w:t>
      </w:r>
    </w:p>
    <w:p w14:paraId="0CF6A8E3" w14:textId="77777777" w:rsidR="009A4F1D" w:rsidRPr="00F32C68" w:rsidRDefault="00AF70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270" w:hanging="270"/>
        <w:jc w:val="both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Quality of support services and facilities 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(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at the library, laboratory, IT facility and student services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)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is subject to evaluation and enhancement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.</w:t>
      </w:r>
    </w:p>
    <w:p w14:paraId="6DB9CF60" w14:textId="77777777" w:rsidR="009A4F1D" w:rsidRPr="00F32C68" w:rsidRDefault="00AF7030">
      <w:pPr>
        <w:spacing w:before="120" w:after="120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F32C6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Style w:val="a"/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5047"/>
        <w:gridCol w:w="577"/>
        <w:gridCol w:w="563"/>
        <w:gridCol w:w="563"/>
        <w:gridCol w:w="563"/>
        <w:gridCol w:w="563"/>
        <w:gridCol w:w="563"/>
        <w:gridCol w:w="563"/>
      </w:tblGrid>
      <w:tr w:rsidR="009A4F1D" w:rsidRPr="00F32C68" w14:paraId="786E66F2" w14:textId="77777777">
        <w:tc>
          <w:tcPr>
            <w:tcW w:w="617" w:type="dxa"/>
            <w:shd w:val="clear" w:color="auto" w:fill="auto"/>
          </w:tcPr>
          <w:p w14:paraId="0C557796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</w:t>
            </w:r>
          </w:p>
        </w:tc>
        <w:tc>
          <w:tcPr>
            <w:tcW w:w="5048" w:type="dxa"/>
            <w:shd w:val="clear" w:color="auto" w:fill="auto"/>
          </w:tcPr>
          <w:p w14:paraId="45D96393" w14:textId="77777777" w:rsidR="009A4F1D" w:rsidRPr="00F32C68" w:rsidRDefault="00AF703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Quality Enhancement</w:t>
            </w:r>
          </w:p>
        </w:tc>
        <w:tc>
          <w:tcPr>
            <w:tcW w:w="577" w:type="dxa"/>
            <w:shd w:val="clear" w:color="auto" w:fill="auto"/>
          </w:tcPr>
          <w:p w14:paraId="3FCDCD14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14:paraId="55414777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14:paraId="445F79D8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</w:t>
            </w:r>
          </w:p>
        </w:tc>
        <w:tc>
          <w:tcPr>
            <w:tcW w:w="563" w:type="dxa"/>
            <w:shd w:val="clear" w:color="auto" w:fill="auto"/>
          </w:tcPr>
          <w:p w14:paraId="1DD2369A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</w:tc>
        <w:tc>
          <w:tcPr>
            <w:tcW w:w="563" w:type="dxa"/>
            <w:shd w:val="clear" w:color="auto" w:fill="auto"/>
          </w:tcPr>
          <w:p w14:paraId="24857156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5</w:t>
            </w:r>
          </w:p>
        </w:tc>
        <w:tc>
          <w:tcPr>
            <w:tcW w:w="563" w:type="dxa"/>
            <w:shd w:val="clear" w:color="auto" w:fill="auto"/>
          </w:tcPr>
          <w:p w14:paraId="2E59BD58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</w:p>
        </w:tc>
        <w:tc>
          <w:tcPr>
            <w:tcW w:w="563" w:type="dxa"/>
            <w:shd w:val="clear" w:color="auto" w:fill="auto"/>
          </w:tcPr>
          <w:p w14:paraId="43C1AF49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7</w:t>
            </w:r>
          </w:p>
        </w:tc>
      </w:tr>
      <w:tr w:rsidR="009A4F1D" w:rsidRPr="00F32C68" w14:paraId="76EA45B0" w14:textId="77777777">
        <w:tc>
          <w:tcPr>
            <w:tcW w:w="617" w:type="dxa"/>
            <w:shd w:val="clear" w:color="auto" w:fill="auto"/>
          </w:tcPr>
          <w:p w14:paraId="3E70538A" w14:textId="77777777" w:rsidR="009A4F1D" w:rsidRPr="00F32C68" w:rsidRDefault="00AF703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sz w:val="32"/>
                <w:szCs w:val="32"/>
              </w:rPr>
              <w:t>10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048" w:type="dxa"/>
            <w:shd w:val="clear" w:color="auto" w:fill="auto"/>
          </w:tcPr>
          <w:p w14:paraId="7641B843" w14:textId="77777777" w:rsidR="009A4F1D" w:rsidRPr="00F32C68" w:rsidRDefault="00AF703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32C68">
              <w:rPr>
                <w:rFonts w:ascii="TH SarabunPSK" w:eastAsia="Sarabun" w:hAnsi="TH SarabunPSK" w:cs="TH SarabunPSK"/>
                <w:sz w:val="32"/>
                <w:szCs w:val="32"/>
              </w:rPr>
              <w:t xml:space="preserve">Quality of support services and facilities 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</w:rPr>
              <w:t>at the library, laboratory, IT facility and student services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) </w:t>
            </w:r>
            <w:r w:rsidRPr="00F32C68">
              <w:rPr>
                <w:rFonts w:ascii="TH SarabunPSK" w:eastAsia="Sarabun" w:hAnsi="TH SarabunPSK" w:cs="TH SarabunPSK"/>
                <w:sz w:val="32"/>
                <w:szCs w:val="32"/>
              </w:rPr>
              <w:t xml:space="preserve">is subjected to evaluation and enhancement </w:t>
            </w:r>
            <w:r w:rsidRPr="00F32C68">
              <w:rPr>
                <w:rFonts w:ascii="TH SarabunPSK" w:eastAsia="Sarabun" w:hAnsi="TH SarabunPSK" w:cs="TH SarabunPSK"/>
                <w:i/>
                <w:iCs/>
                <w:sz w:val="32"/>
                <w:szCs w:val="32"/>
                <w:cs/>
              </w:rPr>
              <w:t>[</w:t>
            </w:r>
            <w:r w:rsidRPr="00F32C68">
              <w:rPr>
                <w:rFonts w:ascii="TH SarabunPSK" w:eastAsia="Sarabun" w:hAnsi="TH SarabunPSK" w:cs="TH SarabunPSK"/>
                <w:i/>
                <w:sz w:val="32"/>
                <w:szCs w:val="32"/>
              </w:rPr>
              <w:t>5</w:t>
            </w:r>
            <w:r w:rsidRPr="00F32C68">
              <w:rPr>
                <w:rFonts w:ascii="TH SarabunPSK" w:eastAsia="Sarabun" w:hAnsi="TH SarabunPSK" w:cs="TH SarabunPSK"/>
                <w:i/>
                <w:iCs/>
                <w:sz w:val="32"/>
                <w:szCs w:val="32"/>
                <w:cs/>
              </w:rPr>
              <w:t>]</w:t>
            </w:r>
          </w:p>
        </w:tc>
        <w:tc>
          <w:tcPr>
            <w:tcW w:w="577" w:type="dxa"/>
            <w:shd w:val="clear" w:color="auto" w:fill="auto"/>
          </w:tcPr>
          <w:p w14:paraId="5246C817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00770DF9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725FC758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5F6F7C85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5308E1F1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16D0BC69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60D8C429" w14:textId="77777777" w:rsidR="009A4F1D" w:rsidRPr="00F32C68" w:rsidRDefault="009A4F1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4806741" w14:textId="77777777" w:rsidR="009A4F1D" w:rsidRPr="00F32C68" w:rsidRDefault="00AF7030">
      <w:pPr>
        <w:spacing w:before="240" w:after="120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F32C6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F32C6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</w:p>
    <w:p w14:paraId="1D05D4E6" w14:textId="77777777" w:rsidR="009A4F1D" w:rsidRPr="00F32C68" w:rsidRDefault="00AF7030">
      <w:pPr>
        <w:ind w:left="270" w:hanging="270"/>
        <w:jc w:val="both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F32C68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F32C6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r w:rsidRPr="00F32C68">
        <w:rPr>
          <w:rFonts w:ascii="TH SarabunPSK" w:eastAsia="Sarabun" w:hAnsi="TH SarabunPSK" w:cs="TH SarabunPSK"/>
          <w:b/>
          <w:sz w:val="32"/>
          <w:szCs w:val="32"/>
        </w:rPr>
        <w:t xml:space="preserve">Quality of support services and facilities </w:t>
      </w:r>
      <w:r w:rsidRPr="00F32C68">
        <w:rPr>
          <w:rFonts w:ascii="TH SarabunPSK" w:eastAsia="Sarabun" w:hAnsi="TH SarabunPSK" w:cs="TH SarabunPSK"/>
          <w:b/>
          <w:bCs/>
          <w:sz w:val="32"/>
          <w:szCs w:val="32"/>
          <w:cs/>
        </w:rPr>
        <w:t>(</w:t>
      </w:r>
      <w:r w:rsidRPr="00F32C68">
        <w:rPr>
          <w:rFonts w:ascii="TH SarabunPSK" w:eastAsia="Sarabun" w:hAnsi="TH SarabunPSK" w:cs="TH SarabunPSK"/>
          <w:b/>
          <w:sz w:val="32"/>
          <w:szCs w:val="32"/>
        </w:rPr>
        <w:t>at the library, laboratory, IT facility and student services</w:t>
      </w:r>
      <w:r w:rsidRPr="00F32C6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  <w:r w:rsidRPr="00F32C68">
        <w:rPr>
          <w:rFonts w:ascii="TH SarabunPSK" w:eastAsia="Sarabun" w:hAnsi="TH SarabunPSK" w:cs="TH SarabunPSK"/>
          <w:b/>
          <w:sz w:val="32"/>
          <w:szCs w:val="32"/>
        </w:rPr>
        <w:t xml:space="preserve">is subjected to evaluation and enhancement </w:t>
      </w:r>
      <w:r w:rsidRPr="00F32C68">
        <w:rPr>
          <w:rFonts w:ascii="TH SarabunPSK" w:eastAsia="Sarabun" w:hAnsi="TH SarabunPSK" w:cs="TH SarabunPSK"/>
          <w:b/>
          <w:bCs/>
          <w:i/>
          <w:iCs/>
          <w:sz w:val="32"/>
          <w:szCs w:val="32"/>
          <w:cs/>
        </w:rPr>
        <w:t>[</w:t>
      </w:r>
      <w:r w:rsidRPr="00F32C68">
        <w:rPr>
          <w:rFonts w:ascii="TH SarabunPSK" w:eastAsia="Sarabun" w:hAnsi="TH SarabunPSK" w:cs="TH SarabunPSK"/>
          <w:b/>
          <w:i/>
          <w:sz w:val="32"/>
          <w:szCs w:val="32"/>
        </w:rPr>
        <w:t>5</w:t>
      </w:r>
      <w:r w:rsidRPr="00F32C68">
        <w:rPr>
          <w:rFonts w:ascii="TH SarabunPSK" w:eastAsia="Sarabun" w:hAnsi="TH SarabunPSK" w:cs="TH SarabunPSK"/>
          <w:b/>
          <w:bCs/>
          <w:i/>
          <w:iCs/>
          <w:sz w:val="32"/>
          <w:szCs w:val="32"/>
          <w:cs/>
        </w:rPr>
        <w:t>]</w:t>
      </w:r>
    </w:p>
    <w:p w14:paraId="03C53C72" w14:textId="77777777" w:rsidR="009A4F1D" w:rsidRPr="00F32C68" w:rsidRDefault="00AF7030">
      <w:p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spacing w:after="200"/>
        <w:ind w:left="259"/>
        <w:jc w:val="both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[เขียนอธิบายผลการดำเนินงาน</w:t>
      </w:r>
      <w:r w:rsidRPr="00F32C68">
        <w:rPr>
          <w:rFonts w:ascii="TH SarabunPSK" w:eastAsia="Sarabun" w:hAnsi="TH SarabunPSK" w:cs="TH SarabunPSK"/>
          <w:i/>
          <w:iCs/>
          <w:color w:val="FF0000"/>
          <w:sz w:val="32"/>
          <w:szCs w:val="32"/>
          <w:u w:val="single"/>
          <w:cs/>
        </w:rPr>
        <w:t xml:space="preserve">ตามหลัก </w:t>
      </w:r>
      <w:r w:rsidRPr="00F32C68">
        <w:rPr>
          <w:rFonts w:ascii="TH SarabunPSK" w:eastAsia="Sarabun" w:hAnsi="TH SarabunPSK" w:cs="TH SarabunPSK"/>
          <w:i/>
          <w:color w:val="FF0000"/>
          <w:sz w:val="32"/>
          <w:szCs w:val="32"/>
          <w:u w:val="single"/>
        </w:rPr>
        <w:t xml:space="preserve">ADLI </w:t>
      </w:r>
      <w:r w:rsidRPr="00F32C68">
        <w:rPr>
          <w:rFonts w:ascii="TH SarabunPSK" w:eastAsia="Sarabun" w:hAnsi="TH SarabunPSK" w:cs="TH SarabunPSK"/>
          <w:i/>
          <w:iCs/>
          <w:color w:val="FF0000"/>
          <w:sz w:val="32"/>
          <w:szCs w:val="32"/>
          <w:u w:val="single"/>
          <w:cs/>
        </w:rPr>
        <w:t xml:space="preserve">ให้เขียนเป็นแนวทางซึ่งมีการจัดขั้นตอนไวเปนลําดับ สามารถทําซํ้าได และแสดงการใชขอมูลและสารสนเทศเพื่อใหเกิดการเรียนรู แนวทางจะมีความเปนระบบ ถาหากมีการสรางโอกาสในการประเมิน การปรับปรุง และการแบงปน รวมอยูดวย จนสงผลใหแนวทางนั้น มีระดับความสมบูรณยิ่งขึ้น 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โดยดูแนวทางการอธิบายผลการดำเนินงานที่เกี่ยวข้องกับเกณฑ์ย่อยด้านบนในกรอบสี่เหลี่ยมที่เป็นตัวหนังสือเอียง (หน้า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41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) รวมถึง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Diagnostic Questions 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(หน้า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43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) ปรากฏในคู่มือ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AUN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-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QA V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.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3 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ฉบับ </w:t>
      </w:r>
      <w:r w:rsidRPr="00F32C68">
        <w:rPr>
          <w:rFonts w:ascii="TH SarabunPSK" w:eastAsia="Sarabun" w:hAnsi="TH SarabunPSK" w:cs="TH SarabunPSK"/>
          <w:i/>
          <w:color w:val="000000"/>
          <w:sz w:val="32"/>
          <w:szCs w:val="32"/>
        </w:rPr>
        <w:t>2015</w:t>
      </w:r>
      <w:r w:rsidRPr="00F32C68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]</w:t>
      </w:r>
    </w:p>
    <w:p w14:paraId="40ACA06E" w14:textId="77777777" w:rsidR="009A4F1D" w:rsidRPr="00F32C68" w:rsidRDefault="00AF7030" w:rsidP="00142AC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bookmarkStart w:id="2" w:name="_heading=h.1fob9te" w:colFirst="0" w:colLast="0"/>
      <w:bookmarkEnd w:id="2"/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ในปีการศึกษา </w:t>
      </w:r>
      <w:r w:rsidR="00F32C68">
        <w:rPr>
          <w:rFonts w:ascii="TH SarabunPSK" w:eastAsia="Sarabun" w:hAnsi="TH SarabunPSK" w:cs="TH SarabunPSK"/>
          <w:sz w:val="32"/>
          <w:szCs w:val="32"/>
        </w:rPr>
        <w:t>256</w:t>
      </w:r>
      <w:r w:rsidR="00F32C68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 ส่วนกิจการนักศึกษา รับผิดชอบกิจกรรมเสริมหลักสูตรนอกห้องเรียนเพื่อพัฒนานักศึกษาสู่ </w:t>
      </w:r>
      <w:r w:rsidRPr="00F32C68">
        <w:rPr>
          <w:rFonts w:ascii="TH SarabunPSK" w:eastAsia="Sarabun" w:hAnsi="TH SarabunPSK" w:cs="TH SarabunPSK"/>
          <w:sz w:val="32"/>
          <w:szCs w:val="32"/>
        </w:rPr>
        <w:t>Thailand 4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00 </w:t>
      </w:r>
      <w:r w:rsidRPr="00F32C68">
        <w:rPr>
          <w:rFonts w:ascii="TH SarabunPSK" w:eastAsia="Sarabun" w:hAnsi="TH SarabunPSK" w:cs="TH SarabunPSK"/>
          <w:color w:val="000000"/>
          <w:sz w:val="32"/>
          <w:szCs w:val="32"/>
        </w:rPr>
        <w:t>&amp; 21</w:t>
      </w:r>
      <w:r w:rsidRPr="00F32C68">
        <w:rPr>
          <w:rFonts w:ascii="TH SarabunPSK" w:eastAsia="Sarabun" w:hAnsi="TH SarabunPSK" w:cs="TH SarabunPSK"/>
          <w:color w:val="000000"/>
          <w:sz w:val="32"/>
          <w:szCs w:val="32"/>
          <w:vertAlign w:val="superscript"/>
        </w:rPr>
        <w:t>st</w:t>
      </w:r>
      <w:r w:rsidRPr="00F32C6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Century 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skills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โดยจัดให้มีโครงการบูรณาการ เพื่อพัฒนานักศึกษาให้มีคุณลักษณะที่พึงประสงค์ เช่น โครงการพัฒนาชีวิตด้วยจิตประภัสสร ค่ายวัย 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Teen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สู่อุปนิสัยแห่งความสำเร็จ โครงการเดินตามรอยเท้าพ่อ ตามหลักปรัชญาเศรษฐกิจพอเพียง 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ห่วง 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เงื่อนไข และกิจกรรมซึ่งจัดโดย องค์การบริหาร องค์การนักศึกษา ชมรมต่างๆ พัฒนาให้นักศึกษามีทักษะในศตวรรษที่ </w:t>
      </w:r>
      <w:r w:rsidRPr="00F32C68">
        <w:rPr>
          <w:rFonts w:ascii="TH SarabunPSK" w:eastAsia="Sarabun" w:hAnsi="TH SarabunPSK" w:cs="TH SarabunPSK"/>
          <w:sz w:val="32"/>
          <w:szCs w:val="32"/>
        </w:rPr>
        <w:t xml:space="preserve">21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ด้านทักษะชีวิตและอาชีพ ทักษะการทำงานเป็นทีม ทักษะความเป็นผู้นำ ทักษะการคิดวิเคราะห์และแก้ปัญหา ทักษะความคิดสร้างสรรค์และนวัตกรรม การพัฒนาบุคลิกภาพการเข้าสังคม รวมทั้งจัดกิจกรรมเพื่อให้นักศึกษามีจิตอาสาจิตสาธารณะ ตลอดปีการศึกษา ในปี </w:t>
      </w:r>
      <w:r w:rsidR="00D962C3">
        <w:rPr>
          <w:rFonts w:ascii="TH SarabunPSK" w:eastAsia="Sarabun" w:hAnsi="TH SarabunPSK" w:cs="TH SarabunPSK"/>
          <w:sz w:val="32"/>
          <w:szCs w:val="32"/>
        </w:rPr>
        <w:t>256</w:t>
      </w:r>
      <w:r w:rsidR="00D962C3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 จัดให้มีการประเมินความพึงพอใจของนักศึกษาผู้ร่วมกิจกรรม และความคิดเห็นของผู้เกี่ยวข้อง โดยมีผลการประเมินความพึงพอใจการให้บริการต่างๆของส่วนกิจการนักศึกษาผู้ใช้บริการเป็นนักศึกษามีผลความพึงพอใจโดยรวมอยู่ในระดับมาก (คะแนนเฉลี่ย </w:t>
      </w:r>
      <w:r w:rsidRPr="00F32C68">
        <w:rPr>
          <w:rFonts w:ascii="TH SarabunPSK" w:eastAsia="Sarabun" w:hAnsi="TH SarabunPSK" w:cs="TH SarabunPSK"/>
          <w:sz w:val="32"/>
          <w:szCs w:val="32"/>
        </w:rPr>
        <w:t>4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F32C68">
        <w:rPr>
          <w:rFonts w:ascii="TH SarabunPSK" w:eastAsia="Sarabun" w:hAnsi="TH SarabunPSK" w:cs="TH SarabunPSK"/>
          <w:sz w:val="32"/>
          <w:szCs w:val="32"/>
        </w:rPr>
        <w:t>57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</w:p>
    <w:p w14:paraId="39936C96" w14:textId="77777777" w:rsidR="009A4F1D" w:rsidRPr="00F32C68" w:rsidRDefault="00AF7030" w:rsidP="00142AC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F32C68">
        <w:rPr>
          <w:rFonts w:ascii="TH SarabunPSK" w:eastAsia="Sarabun" w:hAnsi="TH SarabunPSK" w:cs="TH SarabunPSK"/>
          <w:sz w:val="32"/>
          <w:szCs w:val="32"/>
          <w:cs/>
        </w:rPr>
        <w:lastRenderedPageBreak/>
        <w:t>ส่วนกิจการนักศึกษา ได้นำผลการประเมินความพึงพอใจ การให้บริการข้อเสนอแนะและความคิดเห็นต่างๆ</w:t>
      </w:r>
      <w:r w:rsidR="00CA299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32C68">
        <w:rPr>
          <w:rFonts w:ascii="TH SarabunPSK" w:eastAsia="Sarabun" w:hAnsi="TH SarabunPSK" w:cs="TH SarabunPSK"/>
          <w:sz w:val="32"/>
          <w:szCs w:val="32"/>
          <w:cs/>
        </w:rPr>
        <w:t>ของผู้มีส่วนได้ส่วนเสีย มาเป็นข้อมูลในการปรับปรุงพัฒนาบริการสวัสดิการและการดำเนินงานตามพันธกิจ ให้มีประสิทธิภาพยิ่งขึ้น</w:t>
      </w:r>
    </w:p>
    <w:sectPr w:rsidR="009A4F1D" w:rsidRPr="00F32C68">
      <w:footerReference w:type="default" r:id="rId8"/>
      <w:pgSz w:w="12240" w:h="15840"/>
      <w:pgMar w:top="1138" w:right="1469" w:bottom="1138" w:left="1555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F0D19" w14:textId="77777777" w:rsidR="00156F47" w:rsidRDefault="00156F47">
      <w:r>
        <w:separator/>
      </w:r>
    </w:p>
  </w:endnote>
  <w:endnote w:type="continuationSeparator" w:id="0">
    <w:p w14:paraId="20C0828B" w14:textId="77777777" w:rsidR="00156F47" w:rsidRDefault="0015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16EF6" w14:textId="77777777" w:rsidR="009A4F1D" w:rsidRDefault="00AF70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Sarabun" w:eastAsia="Sarabun" w:hAnsi="Sarabun" w:cs="Sarabun"/>
        <w:color w:val="000000"/>
        <w:sz w:val="16"/>
        <w:szCs w:val="16"/>
      </w:rPr>
    </w:pPr>
    <w:r>
      <w:rPr>
        <w:rFonts w:ascii="Sarabun" w:eastAsia="Sarabun" w:hAnsi="Sarabun" w:cs="Sarabun"/>
        <w:color w:val="000000"/>
        <w:sz w:val="16"/>
        <w:szCs w:val="16"/>
      </w:rPr>
      <w:t>Z</w:t>
    </w:r>
    <w:r>
      <w:rPr>
        <w:rFonts w:ascii="Sarabun" w:eastAsia="Sarabun" w:hAnsi="Sarabun"/>
        <w:color w:val="000000"/>
        <w:sz w:val="16"/>
        <w:szCs w:val="16"/>
        <w:cs/>
      </w:rPr>
      <w:t>:</w:t>
    </w:r>
    <w:r>
      <w:rPr>
        <w:rFonts w:ascii="Sarabun" w:eastAsia="Sarabun" w:hAnsi="Sarabun" w:cs="Sarabun"/>
        <w:color w:val="000000"/>
        <w:sz w:val="16"/>
        <w:szCs w:val="16"/>
      </w:rPr>
      <w:t>\</w:t>
    </w:r>
    <w:r>
      <w:rPr>
        <w:rFonts w:ascii="Sarabun" w:eastAsia="Sarabun" w:hAnsi="Sarabun"/>
        <w:color w:val="000000"/>
        <w:sz w:val="16"/>
        <w:szCs w:val="16"/>
        <w:cs/>
      </w:rPr>
      <w:t xml:space="preserve">ร่างปี </w:t>
    </w:r>
    <w:r>
      <w:rPr>
        <w:rFonts w:ascii="Sarabun" w:eastAsia="Sarabun" w:hAnsi="Sarabun" w:cs="Sarabun"/>
        <w:color w:val="000000"/>
        <w:sz w:val="16"/>
        <w:szCs w:val="16"/>
      </w:rPr>
      <w:t>61\5</w:t>
    </w:r>
    <w:r>
      <w:rPr>
        <w:rFonts w:ascii="Sarabun" w:eastAsia="Sarabun" w:hAnsi="Sarabun"/>
        <w:color w:val="000000"/>
        <w:sz w:val="16"/>
        <w:szCs w:val="16"/>
        <w:cs/>
      </w:rPr>
      <w:t>-</w:t>
    </w:r>
    <w:r>
      <w:rPr>
        <w:rFonts w:ascii="Sarabun" w:eastAsia="Sarabun" w:hAnsi="Sarabun" w:cs="Sarabun"/>
        <w:color w:val="000000"/>
        <w:sz w:val="16"/>
        <w:szCs w:val="16"/>
      </w:rPr>
      <w:t>form61\02</w:t>
    </w:r>
    <w:r>
      <w:rPr>
        <w:rFonts w:ascii="Sarabun" w:eastAsia="Sarabun" w:hAnsi="Sarabun"/>
        <w:color w:val="000000"/>
        <w:sz w:val="16"/>
        <w:szCs w:val="16"/>
        <w:cs/>
      </w:rPr>
      <w:t>-</w:t>
    </w:r>
    <w:r>
      <w:rPr>
        <w:rFonts w:ascii="Sarabun" w:eastAsia="Sarabun" w:hAnsi="Sarabun" w:cs="Sarabun"/>
        <w:color w:val="000000"/>
        <w:sz w:val="16"/>
        <w:szCs w:val="16"/>
      </w:rPr>
      <w:t>form 61\12</w:t>
    </w:r>
    <w:r>
      <w:rPr>
        <w:rFonts w:ascii="Sarabun" w:eastAsia="Sarabun" w:hAnsi="Sarabun"/>
        <w:color w:val="000000"/>
        <w:sz w:val="16"/>
        <w:szCs w:val="16"/>
        <w:cs/>
      </w:rPr>
      <w:t>.</w:t>
    </w:r>
    <w:r>
      <w:rPr>
        <w:rFonts w:ascii="Sarabun" w:eastAsia="Sarabun" w:hAnsi="Sarabun" w:cs="Sarabun"/>
        <w:color w:val="000000"/>
        <w:sz w:val="16"/>
        <w:szCs w:val="16"/>
      </w:rPr>
      <w:t>QA61</w:t>
    </w:r>
    <w:r>
      <w:rPr>
        <w:rFonts w:ascii="Sarabun" w:eastAsia="Sarabun" w:hAnsi="Sarabun"/>
        <w:color w:val="000000"/>
        <w:sz w:val="16"/>
        <w:szCs w:val="16"/>
        <w:cs/>
      </w:rPr>
      <w:t>-สกน รอแก้ไข</w:t>
    </w:r>
    <w:r>
      <w:rPr>
        <w:rFonts w:ascii="Sarabun" w:eastAsia="Sarabun" w:hAnsi="Sarabun" w:cs="Sarabun"/>
        <w:color w:val="000000"/>
        <w:sz w:val="16"/>
        <w:szCs w:val="16"/>
      </w:rPr>
      <w:t>\</w:t>
    </w:r>
    <w:r>
      <w:rPr>
        <w:rFonts w:ascii="Sarabun" w:eastAsia="Sarabun" w:hAnsi="Sarabun"/>
        <w:color w:val="000000"/>
        <w:sz w:val="16"/>
        <w:szCs w:val="16"/>
        <w:cs/>
      </w:rPr>
      <w:t>ระดับหลักสูตร</w:t>
    </w:r>
    <w:r>
      <w:rPr>
        <w:rFonts w:ascii="Sarabun" w:eastAsia="Sarabun" w:hAnsi="Sarabun" w:cs="Sarabun"/>
        <w:color w:val="000000"/>
        <w:sz w:val="16"/>
        <w:szCs w:val="16"/>
      </w:rPr>
      <w:t>\form</w:t>
    </w:r>
    <w:r>
      <w:rPr>
        <w:rFonts w:ascii="Sarabun" w:eastAsia="Sarabun" w:hAnsi="Sarabun"/>
        <w:color w:val="000000"/>
        <w:sz w:val="16"/>
        <w:szCs w:val="16"/>
        <w:cs/>
      </w:rPr>
      <w:t>-รายงาน</w:t>
    </w:r>
    <w:r>
      <w:rPr>
        <w:rFonts w:ascii="Sarabun" w:eastAsia="Sarabun" w:hAnsi="Sarabun" w:cs="Sarabun"/>
        <w:color w:val="000000"/>
        <w:sz w:val="16"/>
        <w:szCs w:val="16"/>
      </w:rPr>
      <w:t>SAR</w:t>
    </w:r>
    <w:r>
      <w:rPr>
        <w:rFonts w:ascii="Sarabun" w:eastAsia="Sarabun" w:hAnsi="Sarabun"/>
        <w:color w:val="000000"/>
        <w:sz w:val="16"/>
        <w:szCs w:val="16"/>
        <w:cs/>
      </w:rPr>
      <w:t>หลักสูตร--สกน..</w:t>
    </w:r>
    <w:r>
      <w:rPr>
        <w:rFonts w:ascii="Sarabun" w:eastAsia="Sarabun" w:hAnsi="Sarabun" w:cs="Sarabun"/>
        <w:color w:val="000000"/>
        <w:sz w:val="16"/>
        <w:szCs w:val="16"/>
      </w:rPr>
      <w:t>docx</w:t>
    </w:r>
    <w:r>
      <w:rPr>
        <w:rFonts w:ascii="Sarabun" w:eastAsia="Sarabun" w:hAnsi="Sarabun" w:cs="Sarabun"/>
        <w:color w:val="000000"/>
        <w:sz w:val="16"/>
        <w:szCs w:val="16"/>
      </w:rPr>
      <w:tab/>
    </w:r>
    <w:r>
      <w:rPr>
        <w:rFonts w:ascii="Sarabun" w:eastAsia="Sarabun" w:hAnsi="Sarabun" w:cs="Sarabun"/>
        <w:color w:val="000000"/>
        <w:sz w:val="28"/>
        <w:szCs w:val="28"/>
      </w:rPr>
      <w:fldChar w:fldCharType="begin"/>
    </w:r>
    <w:r>
      <w:rPr>
        <w:rFonts w:ascii="Sarabun" w:eastAsia="Sarabun" w:hAnsi="Sarabun" w:cs="Sarabun"/>
        <w:color w:val="000000"/>
        <w:sz w:val="28"/>
        <w:szCs w:val="28"/>
      </w:rPr>
      <w:instrText>PAGE</w:instrText>
    </w:r>
    <w:r>
      <w:rPr>
        <w:rFonts w:ascii="Sarabun" w:eastAsia="Sarabun" w:hAnsi="Sarabun" w:cs="Sarabun"/>
        <w:color w:val="000000"/>
        <w:sz w:val="28"/>
        <w:szCs w:val="28"/>
      </w:rPr>
      <w:fldChar w:fldCharType="separate"/>
    </w:r>
    <w:r w:rsidR="00142ACD">
      <w:rPr>
        <w:rFonts w:ascii="Sarabun" w:eastAsia="Sarabun" w:hAnsi="Sarabun" w:cs="Sarabun"/>
        <w:noProof/>
        <w:color w:val="000000"/>
        <w:sz w:val="28"/>
        <w:szCs w:val="28"/>
      </w:rPr>
      <w:t>2</w:t>
    </w:r>
    <w:r>
      <w:rPr>
        <w:rFonts w:ascii="Sarabun" w:eastAsia="Sarabun" w:hAnsi="Sarabun" w:cs="Sarabun"/>
        <w:color w:val="00000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1B613" w14:textId="77777777" w:rsidR="00156F47" w:rsidRDefault="00156F47">
      <w:r>
        <w:separator/>
      </w:r>
    </w:p>
  </w:footnote>
  <w:footnote w:type="continuationSeparator" w:id="0">
    <w:p w14:paraId="060251E8" w14:textId="77777777" w:rsidR="00156F47" w:rsidRDefault="0015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14A31"/>
    <w:multiLevelType w:val="multilevel"/>
    <w:tmpl w:val="D8BAFFF8"/>
    <w:lvl w:ilvl="0">
      <w:start w:val="4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EB36F8"/>
    <w:multiLevelType w:val="multilevel"/>
    <w:tmpl w:val="F32463F4"/>
    <w:lvl w:ilvl="0">
      <w:start w:val="5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1D"/>
    <w:rsid w:val="00142ACD"/>
    <w:rsid w:val="00156F47"/>
    <w:rsid w:val="005608AD"/>
    <w:rsid w:val="009A4F1D"/>
    <w:rsid w:val="00AF3870"/>
    <w:rsid w:val="00AF7030"/>
    <w:rsid w:val="00CA2994"/>
    <w:rsid w:val="00D962C3"/>
    <w:rsid w:val="00DF0248"/>
    <w:rsid w:val="00F3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55D7"/>
  <w15:docId w15:val="{B258E6E6-3A0B-44FD-BDE4-E475CF1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45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</w:pPr>
    <w:rPr>
      <w:rFonts w:ascii="Angsana New" w:cs="Angsana New"/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CaOoYfHvCRBiR/pVWJG6Sr/UA==">AMUW2mWpKf/GdIRZiBXbN8oYoogiOtwEEumMh7ynsI9LWS9gUS5QTiAWZ5DBN4XBqtzuGibPfv3mlbfFqavHYd0igmS3/x462JIex6XUdbnx/JPeIPfTLiR39SkLw3Oo+a5xzNqJ5heQpl0S+Q++O1CkHyJzlwUHuA==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Heinekaw</cp:lastModifiedBy>
  <cp:revision>2</cp:revision>
  <dcterms:created xsi:type="dcterms:W3CDTF">2020-09-23T09:29:00Z</dcterms:created>
  <dcterms:modified xsi:type="dcterms:W3CDTF">2020-09-23T09:29:00Z</dcterms:modified>
</cp:coreProperties>
</file>